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A6950" w14:textId="02E8BDC8" w:rsidR="00D12316" w:rsidRDefault="00D12316" w:rsidP="00D12316">
      <w:pPr>
        <w:jc w:val="both"/>
        <w:rPr>
          <w:b/>
          <w:bCs/>
          <w:sz w:val="24"/>
          <w:szCs w:val="24"/>
        </w:rPr>
      </w:pPr>
      <w:bookmarkStart w:id="0" w:name="_Hlk162630324"/>
      <w:r>
        <w:rPr>
          <w:b/>
          <w:bCs/>
          <w:sz w:val="24"/>
          <w:szCs w:val="24"/>
        </w:rPr>
        <w:t>Bankacılık Sektörü</w:t>
      </w:r>
      <w:r w:rsidR="009B54F4">
        <w:rPr>
          <w:b/>
          <w:bCs/>
          <w:sz w:val="24"/>
          <w:szCs w:val="24"/>
        </w:rPr>
        <w:t>:</w:t>
      </w:r>
      <w:r>
        <w:rPr>
          <w:b/>
          <w:bCs/>
          <w:sz w:val="24"/>
          <w:szCs w:val="24"/>
        </w:rPr>
        <w:t xml:space="preserve"> </w:t>
      </w:r>
      <w:bookmarkStart w:id="1" w:name="_Hlk176523659"/>
      <w:r w:rsidR="009C3BAE">
        <w:rPr>
          <w:b/>
          <w:bCs/>
          <w:sz w:val="24"/>
          <w:szCs w:val="24"/>
        </w:rPr>
        <w:t xml:space="preserve">BDDK </w:t>
      </w:r>
      <w:r w:rsidR="009B54F4">
        <w:rPr>
          <w:b/>
          <w:bCs/>
          <w:sz w:val="24"/>
          <w:szCs w:val="24"/>
        </w:rPr>
        <w:t xml:space="preserve">Temmuz </w:t>
      </w:r>
      <w:bookmarkEnd w:id="1"/>
      <w:r w:rsidR="009B54F4">
        <w:rPr>
          <w:b/>
          <w:bCs/>
          <w:sz w:val="24"/>
          <w:szCs w:val="24"/>
        </w:rPr>
        <w:t>2024</w:t>
      </w:r>
      <w:r>
        <w:rPr>
          <w:b/>
          <w:bCs/>
          <w:sz w:val="24"/>
          <w:szCs w:val="24"/>
        </w:rPr>
        <w:t xml:space="preserve"> Verileri</w:t>
      </w:r>
    </w:p>
    <w:p w14:paraId="2584D3BC" w14:textId="2BD7A473" w:rsidR="00765DD3" w:rsidRDefault="00765DD3" w:rsidP="00E91B03">
      <w:pPr>
        <w:jc w:val="both"/>
      </w:pPr>
      <w:r w:rsidRPr="00765DD3">
        <w:t>Bankacılık Düzenleme ve Denetleme Kurumu (BDDK)</w:t>
      </w:r>
      <w:r>
        <w:t xml:space="preserve"> tarafından</w:t>
      </w:r>
      <w:r w:rsidRPr="00765DD3">
        <w:t xml:space="preserve">, </w:t>
      </w:r>
      <w:r>
        <w:t>B</w:t>
      </w:r>
      <w:r w:rsidRPr="00765DD3">
        <w:t xml:space="preserve">ankacılık </w:t>
      </w:r>
      <w:r>
        <w:t>sektörüne yönelik</w:t>
      </w:r>
      <w:r w:rsidRPr="00765DD3">
        <w:t xml:space="preserve"> aylık yayımlanan </w:t>
      </w:r>
      <w:r w:rsidR="00FE6590" w:rsidRPr="00FE6590">
        <w:rPr>
          <w:b/>
          <w:bCs/>
        </w:rPr>
        <w:t>2024</w:t>
      </w:r>
      <w:r w:rsidR="00FE6590" w:rsidRPr="00FE6590">
        <w:t xml:space="preserve"> </w:t>
      </w:r>
      <w:r w:rsidR="00EA280E">
        <w:rPr>
          <w:b/>
          <w:bCs/>
        </w:rPr>
        <w:t>Ocak-</w:t>
      </w:r>
      <w:r w:rsidR="001E3195">
        <w:rPr>
          <w:b/>
          <w:bCs/>
        </w:rPr>
        <w:t xml:space="preserve"> </w:t>
      </w:r>
      <w:r w:rsidR="00C436EA" w:rsidRPr="00C436EA">
        <w:rPr>
          <w:b/>
          <w:bCs/>
        </w:rPr>
        <w:t xml:space="preserve">Temmuz </w:t>
      </w:r>
      <w:r w:rsidR="00EA280E" w:rsidRPr="00EA280E">
        <w:t>dönemin</w:t>
      </w:r>
      <w:r w:rsidRPr="00EA280E">
        <w:t>e</w:t>
      </w:r>
      <w:r w:rsidRPr="00765DD3">
        <w:t xml:space="preserve"> ait konsolide olmayan mali raporuna göre;</w:t>
      </w:r>
    </w:p>
    <w:p w14:paraId="463DD0A6" w14:textId="21BB0BC6" w:rsidR="00AF45F1" w:rsidRPr="00AF45F1" w:rsidRDefault="00AF45F1" w:rsidP="00E91B03">
      <w:pPr>
        <w:jc w:val="both"/>
        <w:rPr>
          <w:b/>
          <w:bCs/>
          <w:color w:val="FF0000"/>
        </w:rPr>
      </w:pPr>
      <w:bookmarkStart w:id="2" w:name="_Hlk166172776"/>
      <w:r w:rsidRPr="00AF45F1">
        <w:rPr>
          <w:b/>
          <w:bCs/>
          <w:color w:val="FF0000"/>
        </w:rPr>
        <w:t>RESİM 1</w:t>
      </w:r>
    </w:p>
    <w:bookmarkEnd w:id="2"/>
    <w:p w14:paraId="5271CD3C" w14:textId="3A46B941" w:rsidR="00765DD3" w:rsidRDefault="00765DD3" w:rsidP="00E91B03">
      <w:pPr>
        <w:jc w:val="both"/>
        <w:rPr>
          <w:b/>
          <w:bCs/>
        </w:rPr>
      </w:pPr>
      <w:r>
        <w:t xml:space="preserve">Kaynak: </w:t>
      </w:r>
      <w:r w:rsidRPr="00060A0E">
        <w:rPr>
          <w:b/>
          <w:bCs/>
        </w:rPr>
        <w:t>BDDK</w:t>
      </w:r>
    </w:p>
    <w:p w14:paraId="27082537" w14:textId="42A04A25" w:rsidR="00060A0E" w:rsidRDefault="00FE6590" w:rsidP="00E91B03">
      <w:pPr>
        <w:jc w:val="both"/>
      </w:pPr>
      <w:r w:rsidRPr="00FE6590">
        <w:t xml:space="preserve">2024 </w:t>
      </w:r>
      <w:r w:rsidR="000E1419">
        <w:t>Ocak-</w:t>
      </w:r>
      <w:r w:rsidR="001E3195">
        <w:t xml:space="preserve"> </w:t>
      </w:r>
      <w:r w:rsidR="00C436EA" w:rsidRPr="00C436EA">
        <w:t xml:space="preserve">Temmuz </w:t>
      </w:r>
      <w:r w:rsidR="000E1419">
        <w:t xml:space="preserve">dönemi </w:t>
      </w:r>
      <w:r w:rsidR="00CE263C" w:rsidRPr="00CE263C">
        <w:t>verilerine göre, </w:t>
      </w:r>
      <w:r w:rsidR="00CE263C" w:rsidRPr="00CE263C">
        <w:rPr>
          <w:b/>
          <w:bCs/>
        </w:rPr>
        <w:t>sektör karlılığı</w:t>
      </w:r>
      <w:r w:rsidR="00CE263C" w:rsidRPr="00CE263C">
        <w:t> geçen yılın aynı dönemine göre </w:t>
      </w:r>
      <w:r w:rsidR="00570BB3">
        <w:rPr>
          <w:b/>
          <w:bCs/>
        </w:rPr>
        <w:t xml:space="preserve">yüzde </w:t>
      </w:r>
      <w:r w:rsidR="001C173E">
        <w:rPr>
          <w:b/>
          <w:bCs/>
        </w:rPr>
        <w:t>18,8</w:t>
      </w:r>
      <w:r w:rsidR="00CE263C" w:rsidRPr="00CE263C">
        <w:t> </w:t>
      </w:r>
      <w:r w:rsidR="00D517DA">
        <w:t xml:space="preserve">oranında </w:t>
      </w:r>
      <w:r w:rsidR="00CE263C" w:rsidRPr="00CE263C">
        <w:t xml:space="preserve">artarak </w:t>
      </w:r>
      <w:r w:rsidR="001C173E" w:rsidRPr="001C173E">
        <w:t>348.717</w:t>
      </w:r>
      <w:r w:rsidR="001C173E">
        <w:t xml:space="preserve"> </w:t>
      </w:r>
      <w:r w:rsidR="00D12316" w:rsidRPr="00D12316">
        <w:t xml:space="preserve">milyon </w:t>
      </w:r>
      <w:r w:rsidR="00CE263C" w:rsidRPr="00CE263C">
        <w:t>TL olarak gerçekleşti.</w:t>
      </w:r>
      <w:r w:rsidR="00D517DA">
        <w:t xml:space="preserve"> Bu oran </w:t>
      </w:r>
      <w:r w:rsidR="000C4352">
        <w:t>Ocak-</w:t>
      </w:r>
      <w:r w:rsidR="001E3195">
        <w:t xml:space="preserve"> </w:t>
      </w:r>
      <w:r w:rsidR="00C436EA">
        <w:t>Haziran</w:t>
      </w:r>
      <w:r w:rsidR="00D517DA">
        <w:t xml:space="preserve"> </w:t>
      </w:r>
      <w:r w:rsidR="000C4352">
        <w:t>döneminde</w:t>
      </w:r>
      <w:r w:rsidR="00D517DA">
        <w:t xml:space="preserve"> </w:t>
      </w:r>
      <w:r w:rsidR="00D517DA" w:rsidRPr="00D517DA">
        <w:rPr>
          <w:b/>
          <w:bCs/>
        </w:rPr>
        <w:t xml:space="preserve">yüzde </w:t>
      </w:r>
      <w:r w:rsidR="00C436EA">
        <w:rPr>
          <w:b/>
          <w:bCs/>
        </w:rPr>
        <w:t>24,3</w:t>
      </w:r>
      <w:r w:rsidR="00D517DA">
        <w:rPr>
          <w:b/>
          <w:bCs/>
        </w:rPr>
        <w:t xml:space="preserve"> </w:t>
      </w:r>
      <w:r w:rsidR="00D517DA" w:rsidRPr="00D517DA">
        <w:t>idi.</w:t>
      </w:r>
    </w:p>
    <w:p w14:paraId="5F23DAE6" w14:textId="08076577" w:rsidR="00CE263C" w:rsidRDefault="00CE263C" w:rsidP="00E91B03">
      <w:pPr>
        <w:jc w:val="both"/>
      </w:pPr>
      <w:r w:rsidRPr="00CE263C">
        <w:rPr>
          <w:b/>
          <w:bCs/>
        </w:rPr>
        <w:t>→ </w:t>
      </w:r>
      <w:r w:rsidRPr="00CE263C">
        <w:t>Karlılığa etki eden ana faktörler başında olan faiz gelir-giderlerine bakıldığında, Toplam Faiz Gelirleri </w:t>
      </w:r>
      <w:r>
        <w:rPr>
          <w:b/>
          <w:bCs/>
        </w:rPr>
        <w:t xml:space="preserve">yüzde </w:t>
      </w:r>
      <w:r w:rsidR="003E764D">
        <w:rPr>
          <w:b/>
          <w:bCs/>
        </w:rPr>
        <w:t>18</w:t>
      </w:r>
      <w:r w:rsidR="001C173E">
        <w:rPr>
          <w:b/>
          <w:bCs/>
        </w:rPr>
        <w:t>1,4</w:t>
      </w:r>
      <w:r w:rsidR="00D517DA">
        <w:rPr>
          <w:b/>
          <w:bCs/>
        </w:rPr>
        <w:t xml:space="preserve"> </w:t>
      </w:r>
      <w:r w:rsidRPr="00CE263C">
        <w:t>artarken; Toplam Faiz Giderleri </w:t>
      </w:r>
      <w:r>
        <w:rPr>
          <w:b/>
          <w:bCs/>
        </w:rPr>
        <w:t xml:space="preserve">yüzde </w:t>
      </w:r>
      <w:r w:rsidR="003E764D">
        <w:rPr>
          <w:b/>
          <w:bCs/>
        </w:rPr>
        <w:t>2</w:t>
      </w:r>
      <w:r w:rsidR="001C173E">
        <w:rPr>
          <w:b/>
          <w:bCs/>
        </w:rPr>
        <w:t>21,4</w:t>
      </w:r>
      <w:r w:rsidRPr="00CE263C">
        <w:t> arttı.</w:t>
      </w:r>
    </w:p>
    <w:p w14:paraId="621176B4" w14:textId="59B57EA0" w:rsidR="00CE263C" w:rsidRDefault="00CE263C" w:rsidP="00E91B03">
      <w:pPr>
        <w:jc w:val="both"/>
      </w:pPr>
      <w:r w:rsidRPr="00CE263C">
        <w:rPr>
          <w:b/>
          <w:bCs/>
        </w:rPr>
        <w:t>→ </w:t>
      </w:r>
      <w:r w:rsidRPr="00CE263C">
        <w:t>Faiz gelirlerine etki eden kalemlerin başında gelen Kredilerden Alınan Faizler </w:t>
      </w:r>
      <w:r>
        <w:rPr>
          <w:b/>
          <w:bCs/>
        </w:rPr>
        <w:t xml:space="preserve">yüzde </w:t>
      </w:r>
      <w:r w:rsidR="001C173E">
        <w:rPr>
          <w:b/>
          <w:bCs/>
        </w:rPr>
        <w:t>194</w:t>
      </w:r>
      <w:r w:rsidRPr="00CE263C">
        <w:t> artarken; faiz giderlerine etki eden kalemlerin başında gelen Mevduata Verilen Faizler </w:t>
      </w:r>
      <w:r>
        <w:rPr>
          <w:b/>
          <w:bCs/>
        </w:rPr>
        <w:t xml:space="preserve">yüzde </w:t>
      </w:r>
      <w:r w:rsidR="003E764D">
        <w:rPr>
          <w:b/>
          <w:bCs/>
        </w:rPr>
        <w:t>2</w:t>
      </w:r>
      <w:r w:rsidR="001C173E">
        <w:rPr>
          <w:b/>
          <w:bCs/>
        </w:rPr>
        <w:t>32,4</w:t>
      </w:r>
      <w:r w:rsidRPr="00CE263C">
        <w:t> arttı.</w:t>
      </w:r>
    </w:p>
    <w:p w14:paraId="0C3C4450" w14:textId="1A0A8C67" w:rsidR="00CE263C" w:rsidRDefault="00CE263C" w:rsidP="00E91B03">
      <w:pPr>
        <w:jc w:val="both"/>
      </w:pPr>
      <w:r w:rsidRPr="00CE263C">
        <w:rPr>
          <w:b/>
          <w:bCs/>
        </w:rPr>
        <w:t>→ </w:t>
      </w:r>
      <w:r w:rsidRPr="00CE263C">
        <w:t xml:space="preserve">Böylece sektörün ilk </w:t>
      </w:r>
      <w:r w:rsidR="00C436EA">
        <w:t>7</w:t>
      </w:r>
      <w:r w:rsidRPr="00CE263C">
        <w:t xml:space="preserve"> ayında gerçekleşen Net Faiz Geliri geçen yılın aynı dönemine göre </w:t>
      </w:r>
      <w:r>
        <w:rPr>
          <w:b/>
          <w:bCs/>
        </w:rPr>
        <w:t xml:space="preserve">yüzde </w:t>
      </w:r>
      <w:r w:rsidR="003E764D">
        <w:rPr>
          <w:b/>
          <w:bCs/>
        </w:rPr>
        <w:t>7</w:t>
      </w:r>
      <w:r w:rsidR="001C173E">
        <w:rPr>
          <w:b/>
          <w:bCs/>
        </w:rPr>
        <w:t>3,6</w:t>
      </w:r>
      <w:r w:rsidRPr="00CE263C">
        <w:rPr>
          <w:b/>
          <w:bCs/>
        </w:rPr>
        <w:t> </w:t>
      </w:r>
      <w:r>
        <w:t>arttı</w:t>
      </w:r>
      <w:r w:rsidRPr="00CE263C">
        <w:t>.</w:t>
      </w:r>
      <w:r w:rsidR="00D517DA" w:rsidRPr="00D517DA">
        <w:t xml:space="preserve"> Bu oran </w:t>
      </w:r>
      <w:r w:rsidR="000C4352" w:rsidRPr="000C4352">
        <w:t>Ocak-</w:t>
      </w:r>
      <w:r w:rsidR="00856606">
        <w:t xml:space="preserve"> </w:t>
      </w:r>
      <w:r w:rsidR="00C436EA" w:rsidRPr="00C436EA">
        <w:t xml:space="preserve">Haziran </w:t>
      </w:r>
      <w:r w:rsidR="00856606">
        <w:t>döneminde</w:t>
      </w:r>
      <w:r w:rsidR="00D517DA" w:rsidRPr="00D517DA">
        <w:t xml:space="preserve"> </w:t>
      </w:r>
      <w:r w:rsidR="00D517DA" w:rsidRPr="00D517DA">
        <w:rPr>
          <w:b/>
          <w:bCs/>
        </w:rPr>
        <w:t xml:space="preserve">yüzde </w:t>
      </w:r>
      <w:r w:rsidR="001C173E" w:rsidRPr="001C173E">
        <w:rPr>
          <w:b/>
          <w:bCs/>
        </w:rPr>
        <w:t xml:space="preserve">72,3 </w:t>
      </w:r>
      <w:r w:rsidR="00D517DA" w:rsidRPr="00D517DA">
        <w:t>idi.</w:t>
      </w:r>
    </w:p>
    <w:p w14:paraId="5DA31A05" w14:textId="03829BDC" w:rsidR="00CE263C" w:rsidRDefault="00CE263C" w:rsidP="00CE263C">
      <w:pPr>
        <w:jc w:val="both"/>
      </w:pPr>
      <w:r w:rsidRPr="00CE263C">
        <w:rPr>
          <w:b/>
          <w:bCs/>
        </w:rPr>
        <w:t>→ </w:t>
      </w:r>
      <w:r>
        <w:t>K</w:t>
      </w:r>
      <w:r w:rsidRPr="00CE263C">
        <w:t>arlılığını artıran sektörün pozitif görünümüne etken faktörlerden, Faiz/Kar Payı Dışı Gelirler kaleminin </w:t>
      </w:r>
      <w:r>
        <w:rPr>
          <w:b/>
          <w:bCs/>
        </w:rPr>
        <w:t xml:space="preserve">yüzde </w:t>
      </w:r>
      <w:r w:rsidR="007B578C">
        <w:rPr>
          <w:b/>
          <w:bCs/>
        </w:rPr>
        <w:t>110,2</w:t>
      </w:r>
      <w:r w:rsidR="000C4352">
        <w:rPr>
          <w:b/>
          <w:bCs/>
        </w:rPr>
        <w:t xml:space="preserve"> </w:t>
      </w:r>
      <w:r w:rsidRPr="00CE263C">
        <w:t>artışla yer aldığını görüyoruz.</w:t>
      </w:r>
    </w:p>
    <w:p w14:paraId="10EE35E7" w14:textId="4071E0ED" w:rsidR="00CE263C" w:rsidRDefault="00CE263C" w:rsidP="00CE263C">
      <w:pPr>
        <w:jc w:val="both"/>
      </w:pPr>
      <w:r w:rsidRPr="00CE263C">
        <w:rPr>
          <w:b/>
          <w:bCs/>
        </w:rPr>
        <w:t>→ </w:t>
      </w:r>
      <w:r w:rsidRPr="00CE263C">
        <w:t xml:space="preserve">Bunun yanı sıra sektörün ilk </w:t>
      </w:r>
      <w:r w:rsidR="007B578C">
        <w:t>7</w:t>
      </w:r>
      <w:r w:rsidRPr="00CE263C">
        <w:t xml:space="preserve"> ayında gerçekleşen Diğer Faiz Dışı Gelir/Gideri geçen yılın aynı dönemine göre </w:t>
      </w:r>
      <w:r>
        <w:rPr>
          <w:b/>
          <w:bCs/>
        </w:rPr>
        <w:t xml:space="preserve">yüzde </w:t>
      </w:r>
      <w:r w:rsidR="007B578C">
        <w:rPr>
          <w:b/>
          <w:bCs/>
        </w:rPr>
        <w:t>166</w:t>
      </w:r>
      <w:r w:rsidR="00B37785">
        <w:rPr>
          <w:b/>
          <w:bCs/>
        </w:rPr>
        <w:t xml:space="preserve"> </w:t>
      </w:r>
      <w:r w:rsidR="00B37785" w:rsidRPr="00B37785">
        <w:rPr>
          <w:b/>
          <w:bCs/>
        </w:rPr>
        <w:t>negatif</w:t>
      </w:r>
      <w:r w:rsidRPr="00B37785">
        <w:rPr>
          <w:b/>
          <w:bCs/>
        </w:rPr>
        <w:t> art</w:t>
      </w:r>
      <w:r w:rsidR="00B37785" w:rsidRPr="00B37785">
        <w:rPr>
          <w:b/>
          <w:bCs/>
        </w:rPr>
        <w:t>ış</w:t>
      </w:r>
      <w:r w:rsidR="00B37785">
        <w:t xml:space="preserve"> gösterdi</w:t>
      </w:r>
      <w:r w:rsidRPr="00CE263C">
        <w:t>.</w:t>
      </w:r>
      <w:r w:rsidR="00856606" w:rsidRPr="00856606">
        <w:t xml:space="preserve"> Bu oran Ocak-</w:t>
      </w:r>
      <w:r w:rsidR="00856606">
        <w:t xml:space="preserve"> </w:t>
      </w:r>
      <w:r w:rsidR="007B578C" w:rsidRPr="007B578C">
        <w:t xml:space="preserve">Haziran </w:t>
      </w:r>
      <w:r w:rsidR="00856606">
        <w:t>döneminde</w:t>
      </w:r>
      <w:r w:rsidR="00856606" w:rsidRPr="00856606">
        <w:t xml:space="preserve"> </w:t>
      </w:r>
      <w:r w:rsidR="00856606" w:rsidRPr="00856606">
        <w:rPr>
          <w:b/>
          <w:bCs/>
        </w:rPr>
        <w:t xml:space="preserve">yüzde </w:t>
      </w:r>
      <w:r w:rsidR="007B578C">
        <w:rPr>
          <w:b/>
          <w:bCs/>
        </w:rPr>
        <w:t>176,9</w:t>
      </w:r>
      <w:r w:rsidR="00856606" w:rsidRPr="00856606">
        <w:t xml:space="preserve"> idi.</w:t>
      </w:r>
    </w:p>
    <w:p w14:paraId="28FAEE67" w14:textId="4A2D2DE2" w:rsidR="000E03DB" w:rsidRPr="000E03DB" w:rsidRDefault="000E03DB" w:rsidP="000E03DB">
      <w:pPr>
        <w:jc w:val="both"/>
        <w:rPr>
          <w:b/>
          <w:bCs/>
          <w:sz w:val="24"/>
          <w:szCs w:val="24"/>
        </w:rPr>
      </w:pPr>
      <w:r w:rsidRPr="000E03DB">
        <w:rPr>
          <w:b/>
          <w:bCs/>
          <w:sz w:val="24"/>
          <w:szCs w:val="24"/>
        </w:rPr>
        <w:t xml:space="preserve">Bunun yanı sıra BDDK </w:t>
      </w:r>
      <w:r w:rsidRPr="00570BB3">
        <w:rPr>
          <w:b/>
          <w:bCs/>
          <w:sz w:val="24"/>
          <w:szCs w:val="24"/>
        </w:rPr>
        <w:t xml:space="preserve">2024 </w:t>
      </w:r>
      <w:r w:rsidR="00C436EA">
        <w:rPr>
          <w:b/>
          <w:bCs/>
          <w:sz w:val="24"/>
          <w:szCs w:val="24"/>
        </w:rPr>
        <w:t>Temmuz</w:t>
      </w:r>
      <w:r w:rsidR="00B051F8" w:rsidRPr="00B051F8">
        <w:rPr>
          <w:b/>
          <w:bCs/>
          <w:sz w:val="24"/>
          <w:szCs w:val="24"/>
        </w:rPr>
        <w:t xml:space="preserve"> </w:t>
      </w:r>
      <w:r w:rsidR="002F4944">
        <w:rPr>
          <w:b/>
          <w:bCs/>
          <w:sz w:val="24"/>
          <w:szCs w:val="24"/>
        </w:rPr>
        <w:t>dönemi</w:t>
      </w:r>
      <w:r w:rsidRPr="000E03DB">
        <w:rPr>
          <w:b/>
          <w:bCs/>
          <w:sz w:val="24"/>
          <w:szCs w:val="24"/>
        </w:rPr>
        <w:t xml:space="preserve"> verilerine göre;</w:t>
      </w:r>
    </w:p>
    <w:p w14:paraId="3D989B24" w14:textId="746DC389" w:rsidR="000E03DB" w:rsidRPr="000E03DB" w:rsidRDefault="000E03DB" w:rsidP="000E03DB">
      <w:pPr>
        <w:jc w:val="both"/>
      </w:pPr>
      <w:r w:rsidRPr="000E03DB">
        <w:t>Sektörünün</w:t>
      </w:r>
      <w:r w:rsidRPr="000E03DB">
        <w:rPr>
          <w:b/>
          <w:bCs/>
        </w:rPr>
        <w:t> aktif büyüklüğü,</w:t>
      </w:r>
      <w:r w:rsidRPr="000E03DB">
        <w:t> </w:t>
      </w:r>
      <w:r w:rsidR="007B578C" w:rsidRPr="007B578C">
        <w:t xml:space="preserve">28.550.878 </w:t>
      </w:r>
      <w:r w:rsidRPr="000E03DB">
        <w:t xml:space="preserve">milyon TL ile </w:t>
      </w:r>
      <w:r>
        <w:t xml:space="preserve">2024 </w:t>
      </w:r>
      <w:r w:rsidR="00C436EA" w:rsidRPr="00C436EA">
        <w:t xml:space="preserve">Temmuz </w:t>
      </w:r>
      <w:r w:rsidRPr="000E03DB">
        <w:t xml:space="preserve">döneminde </w:t>
      </w:r>
      <w:r>
        <w:t>2023</w:t>
      </w:r>
      <w:r w:rsidRPr="000E03DB">
        <w:t xml:space="preserve"> yılsonuna göre </w:t>
      </w:r>
      <w:r w:rsidR="007B578C" w:rsidRPr="007B578C">
        <w:t>4.999.991</w:t>
      </w:r>
      <w:r w:rsidR="007B578C" w:rsidRPr="007B578C">
        <w:t xml:space="preserve"> </w:t>
      </w:r>
      <w:r w:rsidRPr="000E03DB">
        <w:t>milyon TL artış göstermiştir.</w:t>
      </w:r>
    </w:p>
    <w:p w14:paraId="228496FC" w14:textId="22AFB260" w:rsidR="000E03DB" w:rsidRPr="000E03DB" w:rsidRDefault="000E03DB" w:rsidP="000E03DB">
      <w:pPr>
        <w:jc w:val="both"/>
      </w:pPr>
      <w:r w:rsidRPr="000E03DB">
        <w:t>Sektörün en büyük aktif kalemi olan </w:t>
      </w:r>
      <w:r w:rsidRPr="000E03DB">
        <w:rPr>
          <w:b/>
          <w:bCs/>
        </w:rPr>
        <w:t>krediler</w:t>
      </w:r>
      <w:r w:rsidRPr="000E03DB">
        <w:t> </w:t>
      </w:r>
      <w:r w:rsidR="007B578C" w:rsidRPr="007B578C">
        <w:t>14.134.001</w:t>
      </w:r>
      <w:r w:rsidR="007B578C" w:rsidRPr="007B578C">
        <w:t xml:space="preserve"> </w:t>
      </w:r>
      <w:r w:rsidRPr="000E03DB">
        <w:t>milyon TL, </w:t>
      </w:r>
      <w:r w:rsidRPr="000E03DB">
        <w:rPr>
          <w:b/>
          <w:bCs/>
        </w:rPr>
        <w:t>menkul kıymetler</w:t>
      </w:r>
      <w:r w:rsidRPr="000E03DB">
        <w:t xml:space="preserve"> kalemi ise </w:t>
      </w:r>
      <w:r w:rsidR="007B578C" w:rsidRPr="007B578C">
        <w:t>4.690.572</w:t>
      </w:r>
      <w:r w:rsidR="007B578C" w:rsidRPr="007B578C">
        <w:t xml:space="preserve"> </w:t>
      </w:r>
      <w:r w:rsidRPr="000E03DB">
        <w:t>milyon TL olarak gerçekleşmiştir.</w:t>
      </w:r>
    </w:p>
    <w:p w14:paraId="53A11265" w14:textId="43E1C460" w:rsidR="000E03DB" w:rsidRPr="000E03DB" w:rsidRDefault="000E03DB" w:rsidP="000E03DB">
      <w:pPr>
        <w:jc w:val="both"/>
      </w:pPr>
      <w:r w:rsidRPr="000E03DB">
        <w:t>Böylece 202</w:t>
      </w:r>
      <w:r w:rsidR="00570BB3" w:rsidRPr="00570BB3">
        <w:t>3</w:t>
      </w:r>
      <w:r w:rsidRPr="000E03DB">
        <w:t xml:space="preserve"> yılsonuna göre sektörün;</w:t>
      </w:r>
    </w:p>
    <w:p w14:paraId="654B8627" w14:textId="4CA9A67E" w:rsidR="000E03DB" w:rsidRPr="000E03DB" w:rsidRDefault="000E03DB" w:rsidP="000E03DB">
      <w:pPr>
        <w:jc w:val="both"/>
      </w:pPr>
      <w:r w:rsidRPr="000E03DB">
        <w:t>- Aktif toplamı </w:t>
      </w:r>
      <w:r>
        <w:rPr>
          <w:b/>
          <w:bCs/>
        </w:rPr>
        <w:t xml:space="preserve">yüzde </w:t>
      </w:r>
      <w:r w:rsidR="007B578C">
        <w:rPr>
          <w:b/>
          <w:bCs/>
        </w:rPr>
        <w:t>21,2</w:t>
      </w:r>
    </w:p>
    <w:p w14:paraId="1D6681BA" w14:textId="75841F3F" w:rsidR="000E03DB" w:rsidRPr="000E03DB" w:rsidRDefault="000E03DB" w:rsidP="000E03DB">
      <w:pPr>
        <w:jc w:val="both"/>
      </w:pPr>
      <w:r w:rsidRPr="000E03DB">
        <w:t>- Krediler toplamı</w:t>
      </w:r>
      <w:r>
        <w:t xml:space="preserve"> </w:t>
      </w:r>
      <w:r w:rsidRPr="000E03DB">
        <w:rPr>
          <w:b/>
          <w:bCs/>
        </w:rPr>
        <w:t>yüzde</w:t>
      </w:r>
      <w:r>
        <w:t xml:space="preserve"> </w:t>
      </w:r>
      <w:r w:rsidR="007B578C">
        <w:rPr>
          <w:b/>
          <w:bCs/>
        </w:rPr>
        <w:t>21</w:t>
      </w:r>
    </w:p>
    <w:p w14:paraId="008B8435" w14:textId="5702D27C" w:rsidR="000E03DB" w:rsidRPr="000E03DB" w:rsidRDefault="000E03DB" w:rsidP="000E03DB">
      <w:pPr>
        <w:jc w:val="both"/>
      </w:pPr>
      <w:r w:rsidRPr="000E03DB">
        <w:t>- Menkul kıymetler toplamı </w:t>
      </w:r>
      <w:r>
        <w:rPr>
          <w:b/>
          <w:bCs/>
        </w:rPr>
        <w:t xml:space="preserve">yüzde </w:t>
      </w:r>
      <w:r w:rsidR="007B578C">
        <w:rPr>
          <w:b/>
          <w:bCs/>
        </w:rPr>
        <w:t>18,2</w:t>
      </w:r>
      <w:r w:rsidR="00FE7919" w:rsidRPr="00FE7919">
        <w:rPr>
          <w:b/>
          <w:bCs/>
        </w:rPr>
        <w:t xml:space="preserve"> </w:t>
      </w:r>
      <w:r w:rsidRPr="000E03DB">
        <w:t>oranında artmıştır.</w:t>
      </w:r>
    </w:p>
    <w:p w14:paraId="035B8B3F" w14:textId="283F1E9E" w:rsidR="000E03DB" w:rsidRPr="000E03DB" w:rsidRDefault="000E03DB" w:rsidP="000E03DB">
      <w:pPr>
        <w:jc w:val="both"/>
      </w:pPr>
      <w:r w:rsidRPr="000E03DB">
        <w:t>Ayrıca bu dönemde kredilerin takibe dönüşüm oranı </w:t>
      </w:r>
      <w:r>
        <w:rPr>
          <w:b/>
          <w:bCs/>
        </w:rPr>
        <w:t xml:space="preserve">yüzde </w:t>
      </w:r>
      <w:r w:rsidRPr="000E03DB">
        <w:rPr>
          <w:b/>
          <w:bCs/>
        </w:rPr>
        <w:t>1</w:t>
      </w:r>
      <w:r w:rsidR="00B37785">
        <w:rPr>
          <w:b/>
          <w:bCs/>
        </w:rPr>
        <w:t>,</w:t>
      </w:r>
      <w:r w:rsidR="007B578C">
        <w:rPr>
          <w:b/>
          <w:bCs/>
        </w:rPr>
        <w:t>68</w:t>
      </w:r>
      <w:r w:rsidRPr="000E03DB">
        <w:rPr>
          <w:b/>
          <w:bCs/>
        </w:rPr>
        <w:t> </w:t>
      </w:r>
      <w:r w:rsidRPr="000E03DB">
        <w:t>olmuştur.</w:t>
      </w:r>
    </w:p>
    <w:p w14:paraId="69F9A6E2" w14:textId="16D8F659" w:rsidR="000E03DB" w:rsidRPr="000E03DB" w:rsidRDefault="000E03DB" w:rsidP="000E03DB">
      <w:pPr>
        <w:jc w:val="both"/>
      </w:pPr>
      <w:r w:rsidRPr="000E03DB">
        <w:t>Bankaların en büyük fon kaynağı olarak </w:t>
      </w:r>
      <w:r w:rsidRPr="000E03DB">
        <w:rPr>
          <w:b/>
          <w:bCs/>
        </w:rPr>
        <w:t>mevduat</w:t>
      </w:r>
      <w:r w:rsidRPr="000E03DB">
        <w:t> </w:t>
      </w:r>
      <w:r w:rsidR="002F4944">
        <w:t xml:space="preserve">2024 </w:t>
      </w:r>
      <w:r w:rsidR="00C436EA" w:rsidRPr="00C436EA">
        <w:t xml:space="preserve">Temmuz </w:t>
      </w:r>
      <w:r w:rsidR="002F4944">
        <w:t xml:space="preserve">döneminde </w:t>
      </w:r>
      <w:r w:rsidR="00570BB3">
        <w:t>2023</w:t>
      </w:r>
      <w:r w:rsidRPr="000E03DB">
        <w:t xml:space="preserve"> yılsonuna göre </w:t>
      </w:r>
      <w:r w:rsidR="00570BB3" w:rsidRPr="00570BB3">
        <w:rPr>
          <w:b/>
          <w:bCs/>
        </w:rPr>
        <w:t xml:space="preserve">yüzde </w:t>
      </w:r>
      <w:r w:rsidR="00FE7919" w:rsidRPr="00FE7919">
        <w:rPr>
          <w:b/>
          <w:bCs/>
        </w:rPr>
        <w:t>1</w:t>
      </w:r>
      <w:r w:rsidR="007B578C">
        <w:rPr>
          <w:b/>
          <w:bCs/>
        </w:rPr>
        <w:t>4,1</w:t>
      </w:r>
      <w:r w:rsidR="00FE7919" w:rsidRPr="00FE7919">
        <w:rPr>
          <w:b/>
          <w:bCs/>
        </w:rPr>
        <w:t xml:space="preserve"> </w:t>
      </w:r>
      <w:r w:rsidRPr="000E03DB">
        <w:t xml:space="preserve">artışla </w:t>
      </w:r>
      <w:r w:rsidR="007B578C" w:rsidRPr="007B578C">
        <w:t>16,941,733</w:t>
      </w:r>
      <w:r w:rsidR="007B578C" w:rsidRPr="007B578C">
        <w:t xml:space="preserve"> </w:t>
      </w:r>
      <w:r w:rsidRPr="000E03DB">
        <w:t>milyon TL olmuştur.</w:t>
      </w:r>
    </w:p>
    <w:p w14:paraId="14C9093A" w14:textId="78762D5B" w:rsidR="00A74535" w:rsidRDefault="000E03DB" w:rsidP="000E03DB">
      <w:pPr>
        <w:jc w:val="both"/>
      </w:pPr>
      <w:r w:rsidRPr="000E03DB">
        <w:t xml:space="preserve">Tüm bunların yanı sıra </w:t>
      </w:r>
      <w:r w:rsidR="00570BB3">
        <w:t xml:space="preserve">2024 </w:t>
      </w:r>
      <w:r w:rsidR="00C436EA" w:rsidRPr="00C436EA">
        <w:t xml:space="preserve">Temmuz </w:t>
      </w:r>
      <w:r w:rsidRPr="000E03DB">
        <w:t>döneminde 202</w:t>
      </w:r>
      <w:r w:rsidR="00570BB3">
        <w:t>3</w:t>
      </w:r>
      <w:r w:rsidRPr="000E03DB">
        <w:t xml:space="preserve"> yılsonuna göre </w:t>
      </w:r>
      <w:r w:rsidRPr="000E03DB">
        <w:rPr>
          <w:b/>
          <w:bCs/>
        </w:rPr>
        <w:t>özkaynak</w:t>
      </w:r>
      <w:r w:rsidRPr="000E03DB">
        <w:t xml:space="preserve"> toplamı </w:t>
      </w:r>
      <w:r w:rsidR="00570BB3" w:rsidRPr="00570BB3">
        <w:rPr>
          <w:b/>
          <w:bCs/>
        </w:rPr>
        <w:t xml:space="preserve">yüzde </w:t>
      </w:r>
      <w:r w:rsidR="00FE7919" w:rsidRPr="00FE7919">
        <w:rPr>
          <w:b/>
          <w:bCs/>
        </w:rPr>
        <w:t>1</w:t>
      </w:r>
      <w:r w:rsidR="007B578C">
        <w:rPr>
          <w:b/>
          <w:bCs/>
        </w:rPr>
        <w:t>6,9</w:t>
      </w:r>
      <w:r w:rsidR="00FE7919" w:rsidRPr="00FE7919">
        <w:rPr>
          <w:b/>
          <w:bCs/>
        </w:rPr>
        <w:t xml:space="preserve"> </w:t>
      </w:r>
      <w:r w:rsidRPr="000E03DB">
        <w:t xml:space="preserve">artışla </w:t>
      </w:r>
      <w:r w:rsidR="007B578C" w:rsidRPr="007B578C">
        <w:t>2.516.789</w:t>
      </w:r>
      <w:r w:rsidR="007B578C" w:rsidRPr="007B578C">
        <w:t xml:space="preserve"> </w:t>
      </w:r>
      <w:r w:rsidRPr="000E03DB">
        <w:t>milyon TL olarak gerçekleşirken, sektörün </w:t>
      </w:r>
      <w:r w:rsidRPr="000E03DB">
        <w:rPr>
          <w:b/>
          <w:bCs/>
        </w:rPr>
        <w:t>dönem net kârı</w:t>
      </w:r>
      <w:r w:rsidRPr="000E03DB">
        <w:t> </w:t>
      </w:r>
      <w:r w:rsidR="007B578C" w:rsidRPr="007B578C">
        <w:t>348.717</w:t>
      </w:r>
      <w:r w:rsidR="007B578C" w:rsidRPr="007B578C">
        <w:t xml:space="preserve"> </w:t>
      </w:r>
      <w:r w:rsidRPr="000E03DB">
        <w:t>milyon TL, </w:t>
      </w:r>
      <w:r w:rsidRPr="000E03DB">
        <w:rPr>
          <w:b/>
          <w:bCs/>
        </w:rPr>
        <w:t>sermaye yeterliliği standart oranı </w:t>
      </w:r>
      <w:r w:rsidRPr="000E03DB">
        <w:t xml:space="preserve">ise </w:t>
      </w:r>
      <w:r w:rsidR="00570BB3" w:rsidRPr="00570BB3">
        <w:rPr>
          <w:b/>
          <w:bCs/>
        </w:rPr>
        <w:t xml:space="preserve">yüzde </w:t>
      </w:r>
      <w:r w:rsidR="00FE7919" w:rsidRPr="00FE7919">
        <w:rPr>
          <w:b/>
          <w:bCs/>
        </w:rPr>
        <w:t>17,</w:t>
      </w:r>
      <w:r w:rsidR="007B578C">
        <w:rPr>
          <w:b/>
          <w:bCs/>
        </w:rPr>
        <w:t>02</w:t>
      </w:r>
      <w:r w:rsidR="00FE7919" w:rsidRPr="00FE7919">
        <w:rPr>
          <w:b/>
          <w:bCs/>
        </w:rPr>
        <w:t xml:space="preserve"> </w:t>
      </w:r>
      <w:r w:rsidRPr="000E03DB">
        <w:t>seviyesinde gerçekleşmiştir.</w:t>
      </w:r>
    </w:p>
    <w:p w14:paraId="53758D09" w14:textId="63BA26FB" w:rsidR="00A420A9" w:rsidRPr="000E03DB" w:rsidRDefault="000A3B5F" w:rsidP="000E03DB">
      <w:pPr>
        <w:jc w:val="both"/>
        <w:rPr>
          <w:b/>
          <w:bCs/>
          <w:sz w:val="24"/>
          <w:szCs w:val="24"/>
        </w:rPr>
      </w:pPr>
      <w:r w:rsidRPr="000A3B5F">
        <w:rPr>
          <w:b/>
          <w:bCs/>
          <w:sz w:val="24"/>
          <w:szCs w:val="24"/>
        </w:rPr>
        <w:t>Teknik Değerlendirme</w:t>
      </w:r>
    </w:p>
    <w:p w14:paraId="421DBC76" w14:textId="669D2862" w:rsidR="00AF45F1" w:rsidRPr="00AF45F1" w:rsidRDefault="00AF45F1" w:rsidP="00CE263C">
      <w:pPr>
        <w:jc w:val="both"/>
        <w:rPr>
          <w:b/>
          <w:bCs/>
          <w:color w:val="FF0000"/>
        </w:rPr>
      </w:pPr>
      <w:r w:rsidRPr="00AF45F1">
        <w:rPr>
          <w:b/>
          <w:bCs/>
          <w:color w:val="FF0000"/>
        </w:rPr>
        <w:t xml:space="preserve">RESİM </w:t>
      </w:r>
      <w:r>
        <w:rPr>
          <w:b/>
          <w:bCs/>
          <w:color w:val="FF0000"/>
        </w:rPr>
        <w:t>2</w:t>
      </w:r>
    </w:p>
    <w:p w14:paraId="3B362309" w14:textId="49CAAABC" w:rsidR="000E03DB" w:rsidRDefault="00390B1F" w:rsidP="00CE263C">
      <w:pPr>
        <w:jc w:val="both"/>
      </w:pPr>
      <w:r>
        <w:lastRenderedPageBreak/>
        <w:t>Referans göstergeler olarak takip ettiğimiz 13, 33 ve 90 günlük üssel hareketli ortalamalar üstünde fiyatlanan bankacılık endeksinde pozitif ivmelenmenin devam etmesi durumunda 14375, 14550 ve 14725 seviyelerine hareket edebilir. Aksi taktirde olası bir geri çekilme durumunda ise 14000, 13700 ve 13550 seviyelerine geri çekilebilir.</w:t>
      </w:r>
    </w:p>
    <w:p w14:paraId="7B652CFC" w14:textId="77777777" w:rsidR="00CE263C" w:rsidRPr="00CE263C" w:rsidRDefault="00CE263C" w:rsidP="00CE263C">
      <w:pPr>
        <w:jc w:val="both"/>
      </w:pPr>
    </w:p>
    <w:bookmarkEnd w:id="0"/>
    <w:p w14:paraId="22D45831" w14:textId="77777777" w:rsidR="00CE263C" w:rsidRPr="00060A0E" w:rsidRDefault="00CE263C" w:rsidP="00E91B03">
      <w:pPr>
        <w:jc w:val="both"/>
      </w:pPr>
    </w:p>
    <w:sectPr w:rsidR="00CE263C" w:rsidRPr="00060A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0E4"/>
    <w:rsid w:val="00023FB3"/>
    <w:rsid w:val="00060A0E"/>
    <w:rsid w:val="000972E4"/>
    <w:rsid w:val="000A0B32"/>
    <w:rsid w:val="000A3B5F"/>
    <w:rsid w:val="000C4352"/>
    <w:rsid w:val="000E03DB"/>
    <w:rsid w:val="000E1419"/>
    <w:rsid w:val="0019720B"/>
    <w:rsid w:val="001C173E"/>
    <w:rsid w:val="001E3195"/>
    <w:rsid w:val="002440E4"/>
    <w:rsid w:val="002F4944"/>
    <w:rsid w:val="00344866"/>
    <w:rsid w:val="00354333"/>
    <w:rsid w:val="00390B1F"/>
    <w:rsid w:val="003E4851"/>
    <w:rsid w:val="003E764D"/>
    <w:rsid w:val="00415677"/>
    <w:rsid w:val="0042194C"/>
    <w:rsid w:val="0046142F"/>
    <w:rsid w:val="004C20FD"/>
    <w:rsid w:val="00536248"/>
    <w:rsid w:val="005528DA"/>
    <w:rsid w:val="00570BB3"/>
    <w:rsid w:val="005C312C"/>
    <w:rsid w:val="005E090F"/>
    <w:rsid w:val="0061312E"/>
    <w:rsid w:val="00634208"/>
    <w:rsid w:val="006605EB"/>
    <w:rsid w:val="006B3D72"/>
    <w:rsid w:val="00712B0D"/>
    <w:rsid w:val="00745BD5"/>
    <w:rsid w:val="00765DD3"/>
    <w:rsid w:val="007A3F66"/>
    <w:rsid w:val="007B578C"/>
    <w:rsid w:val="00841076"/>
    <w:rsid w:val="00856606"/>
    <w:rsid w:val="008B5370"/>
    <w:rsid w:val="00953DEA"/>
    <w:rsid w:val="00997023"/>
    <w:rsid w:val="009B54F4"/>
    <w:rsid w:val="009C3BAE"/>
    <w:rsid w:val="009D1A8F"/>
    <w:rsid w:val="00A33D85"/>
    <w:rsid w:val="00A420A9"/>
    <w:rsid w:val="00A74535"/>
    <w:rsid w:val="00AF45F1"/>
    <w:rsid w:val="00B051F8"/>
    <w:rsid w:val="00B37785"/>
    <w:rsid w:val="00C02700"/>
    <w:rsid w:val="00C40842"/>
    <w:rsid w:val="00C436EA"/>
    <w:rsid w:val="00C8333A"/>
    <w:rsid w:val="00CE263C"/>
    <w:rsid w:val="00CF7DC0"/>
    <w:rsid w:val="00D12316"/>
    <w:rsid w:val="00D517DA"/>
    <w:rsid w:val="00DE2440"/>
    <w:rsid w:val="00E40F12"/>
    <w:rsid w:val="00E5167E"/>
    <w:rsid w:val="00E91B03"/>
    <w:rsid w:val="00EA280E"/>
    <w:rsid w:val="00F61DCF"/>
    <w:rsid w:val="00F7257B"/>
    <w:rsid w:val="00F81C43"/>
    <w:rsid w:val="00FE6590"/>
    <w:rsid w:val="00FE7919"/>
    <w:rsid w:val="00FF5C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C734"/>
  <w15:chartTrackingRefBased/>
  <w15:docId w15:val="{CE8B7756-FA0C-4DA7-A845-8A0CAEE9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F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E0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5Koyu-Vurgu6">
    <w:name w:val="Grid Table 5 Dark Accent 6"/>
    <w:basedOn w:val="NormalTablo"/>
    <w:uiPriority w:val="50"/>
    <w:rsid w:val="00060A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KlavuzTablo1Ak-Vurgu6">
    <w:name w:val="Grid Table 1 Light Accent 6"/>
    <w:basedOn w:val="NormalTablo"/>
    <w:uiPriority w:val="46"/>
    <w:rsid w:val="00060A0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765D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010801">
      <w:bodyDiv w:val="1"/>
      <w:marLeft w:val="0"/>
      <w:marRight w:val="0"/>
      <w:marTop w:val="0"/>
      <w:marBottom w:val="0"/>
      <w:divBdr>
        <w:top w:val="none" w:sz="0" w:space="0" w:color="auto"/>
        <w:left w:val="none" w:sz="0" w:space="0" w:color="auto"/>
        <w:bottom w:val="none" w:sz="0" w:space="0" w:color="auto"/>
        <w:right w:val="none" w:sz="0" w:space="0" w:color="auto"/>
      </w:divBdr>
    </w:div>
    <w:div w:id="1027097897">
      <w:bodyDiv w:val="1"/>
      <w:marLeft w:val="0"/>
      <w:marRight w:val="0"/>
      <w:marTop w:val="0"/>
      <w:marBottom w:val="0"/>
      <w:divBdr>
        <w:top w:val="none" w:sz="0" w:space="0" w:color="auto"/>
        <w:left w:val="none" w:sz="0" w:space="0" w:color="auto"/>
        <w:bottom w:val="none" w:sz="0" w:space="0" w:color="auto"/>
        <w:right w:val="none" w:sz="0" w:space="0" w:color="auto"/>
      </w:divBdr>
    </w:div>
    <w:div w:id="1151555139">
      <w:bodyDiv w:val="1"/>
      <w:marLeft w:val="0"/>
      <w:marRight w:val="0"/>
      <w:marTop w:val="0"/>
      <w:marBottom w:val="0"/>
      <w:divBdr>
        <w:top w:val="none" w:sz="0" w:space="0" w:color="auto"/>
        <w:left w:val="none" w:sz="0" w:space="0" w:color="auto"/>
        <w:bottom w:val="none" w:sz="0" w:space="0" w:color="auto"/>
        <w:right w:val="none" w:sz="0" w:space="0" w:color="auto"/>
      </w:divBdr>
    </w:div>
    <w:div w:id="1320692241">
      <w:bodyDiv w:val="1"/>
      <w:marLeft w:val="0"/>
      <w:marRight w:val="0"/>
      <w:marTop w:val="0"/>
      <w:marBottom w:val="0"/>
      <w:divBdr>
        <w:top w:val="none" w:sz="0" w:space="0" w:color="auto"/>
        <w:left w:val="none" w:sz="0" w:space="0" w:color="auto"/>
        <w:bottom w:val="none" w:sz="0" w:space="0" w:color="auto"/>
        <w:right w:val="none" w:sz="0" w:space="0" w:color="auto"/>
      </w:divBdr>
    </w:div>
    <w:div w:id="159574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2</Pages>
  <Words>394</Words>
  <Characters>2248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Yasir BUDAK | ALB Yatırım</dc:creator>
  <cp:keywords/>
  <dc:description/>
  <cp:lastModifiedBy>Yasir Budak</cp:lastModifiedBy>
  <cp:revision>31</cp:revision>
  <dcterms:created xsi:type="dcterms:W3CDTF">2024-03-04T11:46:00Z</dcterms:created>
  <dcterms:modified xsi:type="dcterms:W3CDTF">2024-09-06T12:02:00Z</dcterms:modified>
</cp:coreProperties>
</file>